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1C" w:rsidRDefault="0002181C">
      <w:pPr>
        <w:pStyle w:val="Heading10"/>
        <w:keepNext/>
        <w:keepLines/>
        <w:shd w:val="clear" w:color="auto" w:fill="auto"/>
        <w:ind w:right="40"/>
      </w:pPr>
      <w:bookmarkStart w:id="0" w:name="bookmark0"/>
    </w:p>
    <w:p w:rsidR="0002181C" w:rsidRPr="0002181C" w:rsidRDefault="0002181C" w:rsidP="0002181C">
      <w:pPr>
        <w:jc w:val="right"/>
        <w:rPr>
          <w:rFonts w:ascii="Times New Roman" w:hAnsi="Times New Roman" w:cs="Times New Roman"/>
          <w:bCs/>
          <w:spacing w:val="-6"/>
        </w:rPr>
      </w:pPr>
      <w:r w:rsidRPr="0002181C">
        <w:rPr>
          <w:rFonts w:ascii="Times New Roman" w:hAnsi="Times New Roman" w:cs="Times New Roman"/>
          <w:bCs/>
          <w:spacing w:val="-6"/>
        </w:rPr>
        <w:t xml:space="preserve">Приложение </w:t>
      </w:r>
      <w:r w:rsidR="00195E8A">
        <w:rPr>
          <w:rFonts w:ascii="Times New Roman" w:hAnsi="Times New Roman" w:cs="Times New Roman"/>
          <w:bCs/>
          <w:spacing w:val="-6"/>
        </w:rPr>
        <w:t>2</w:t>
      </w:r>
      <w:bookmarkStart w:id="1" w:name="_GoBack"/>
      <w:bookmarkEnd w:id="1"/>
    </w:p>
    <w:p w:rsidR="003F22B9" w:rsidRDefault="0002181C" w:rsidP="0002181C">
      <w:pPr>
        <w:jc w:val="right"/>
        <w:rPr>
          <w:rFonts w:ascii="Times New Roman" w:hAnsi="Times New Roman" w:cs="Times New Roman"/>
          <w:bCs/>
          <w:spacing w:val="-6"/>
        </w:rPr>
      </w:pPr>
      <w:r w:rsidRPr="0002181C">
        <w:rPr>
          <w:rFonts w:ascii="Times New Roman" w:hAnsi="Times New Roman" w:cs="Times New Roman"/>
          <w:bCs/>
          <w:spacing w:val="-6"/>
        </w:rPr>
        <w:t>к приказу от 28.08.2020г. № 63</w:t>
      </w:r>
    </w:p>
    <w:p w:rsidR="003F22B9" w:rsidRPr="003F22B9" w:rsidRDefault="003F22B9" w:rsidP="003F22B9">
      <w:pPr>
        <w:rPr>
          <w:rFonts w:ascii="Times New Roman" w:hAnsi="Times New Roman" w:cs="Times New Roman"/>
        </w:rPr>
      </w:pPr>
    </w:p>
    <w:p w:rsidR="003F22B9" w:rsidRDefault="003F22B9" w:rsidP="003F22B9">
      <w:pPr>
        <w:rPr>
          <w:rFonts w:ascii="Times New Roman" w:hAnsi="Times New Roman" w:cs="Times New Roman"/>
        </w:rPr>
      </w:pPr>
    </w:p>
    <w:p w:rsidR="003F22B9" w:rsidRDefault="003F22B9" w:rsidP="003F22B9">
      <w:pPr>
        <w:pStyle w:val="Heading10"/>
        <w:keepNext/>
        <w:keepLines/>
        <w:shd w:val="clear" w:color="auto" w:fill="auto"/>
        <w:ind w:right="40"/>
      </w:pPr>
      <w:r>
        <w:tab/>
        <w:t xml:space="preserve">План </w:t>
      </w:r>
    </w:p>
    <w:p w:rsidR="003F22B9" w:rsidRDefault="003F22B9" w:rsidP="003F22B9">
      <w:pPr>
        <w:pStyle w:val="Heading10"/>
        <w:keepNext/>
        <w:keepLines/>
        <w:shd w:val="clear" w:color="auto" w:fill="auto"/>
        <w:ind w:right="40"/>
      </w:pPr>
      <w:r>
        <w:t xml:space="preserve">работы комиссии родительского контроля за организацией горячего питания </w:t>
      </w:r>
      <w:proofErr w:type="gramStart"/>
      <w:r>
        <w:t>в</w:t>
      </w:r>
      <w:proofErr w:type="gramEnd"/>
    </w:p>
    <w:p w:rsidR="003F22B9" w:rsidRDefault="003F22B9" w:rsidP="003F22B9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  <w:bookmarkStart w:id="2" w:name="bookmark1"/>
      <w:r>
        <w:t xml:space="preserve">МБОУ </w:t>
      </w:r>
      <w:proofErr w:type="spellStart"/>
      <w:r>
        <w:t>Верхняковская</w:t>
      </w:r>
      <w:proofErr w:type="spellEnd"/>
      <w:r>
        <w:t xml:space="preserve"> СОШ </w:t>
      </w:r>
      <w:r w:rsidRPr="00853FE3">
        <w:rPr>
          <w:rStyle w:val="Heading11"/>
          <w:b/>
          <w:bCs/>
          <w:u w:val="none"/>
        </w:rPr>
        <w:t>на 2020-2021 учебный год.</w:t>
      </w:r>
      <w:bookmarkEnd w:id="2"/>
    </w:p>
    <w:p w:rsidR="003F22B9" w:rsidRDefault="003F22B9" w:rsidP="003F22B9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</w:p>
    <w:tbl>
      <w:tblPr>
        <w:tblStyle w:val="a6"/>
        <w:tblpPr w:leftFromText="180" w:rightFromText="180" w:vertAnchor="text" w:horzAnchor="page" w:tblpX="2214" w:tblpY="389"/>
        <w:tblW w:w="0" w:type="auto"/>
        <w:tblLook w:val="04A0" w:firstRow="1" w:lastRow="0" w:firstColumn="1" w:lastColumn="0" w:noHBand="0" w:noVBand="1"/>
      </w:tblPr>
      <w:tblGrid>
        <w:gridCol w:w="655"/>
        <w:gridCol w:w="1276"/>
        <w:gridCol w:w="8930"/>
        <w:gridCol w:w="2629"/>
      </w:tblGrid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/>
                <w:bCs/>
                <w:sz w:val="24"/>
                <w:szCs w:val="24"/>
                <w:u w:val="none"/>
              </w:rPr>
              <w:t>№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/>
                <w:bCs/>
                <w:sz w:val="24"/>
                <w:szCs w:val="24"/>
                <w:u w:val="none"/>
              </w:rPr>
              <w:t>Сроки</w:t>
            </w:r>
          </w:p>
        </w:tc>
        <w:tc>
          <w:tcPr>
            <w:tcW w:w="8930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/>
                <w:bCs/>
                <w:sz w:val="24"/>
                <w:szCs w:val="24"/>
                <w:u w:val="none"/>
              </w:rPr>
              <w:t>Мероприятие</w:t>
            </w:r>
          </w:p>
        </w:tc>
        <w:tc>
          <w:tcPr>
            <w:tcW w:w="2629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/>
                <w:bCs/>
                <w:sz w:val="24"/>
                <w:szCs w:val="24"/>
                <w:u w:val="none"/>
              </w:rPr>
              <w:t>Ответственные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8930" w:type="dxa"/>
          </w:tcPr>
          <w:p w:rsidR="003F22B9" w:rsidRPr="0002181C" w:rsidRDefault="003F22B9" w:rsidP="003F22B9">
            <w:pPr>
              <w:pStyle w:val="Bodytext20"/>
              <w:shd w:val="clear" w:color="auto" w:fill="auto"/>
              <w:spacing w:after="120" w:line="240" w:lineRule="exact"/>
              <w:rPr>
                <w:rStyle w:val="Bodytext212ptNotBold"/>
                <w:b/>
                <w:bCs/>
                <w:sz w:val="28"/>
                <w:szCs w:val="28"/>
              </w:rPr>
            </w:pPr>
            <w:r>
              <w:rPr>
                <w:rStyle w:val="Bodytext212ptNotBold"/>
              </w:rPr>
              <w:t>Издание приказов и положений, касающихся вопросов организации питания</w:t>
            </w:r>
            <w:r>
              <w:t xml:space="preserve"> </w:t>
            </w:r>
            <w:r>
              <w:rPr>
                <w:rStyle w:val="Bodytext212ptNotBold"/>
              </w:rPr>
              <w:t>школьников</w:t>
            </w:r>
          </w:p>
        </w:tc>
        <w:tc>
          <w:tcPr>
            <w:tcW w:w="2629" w:type="dxa"/>
          </w:tcPr>
          <w:p w:rsidR="003F22B9" w:rsidRDefault="003F22B9" w:rsidP="003F22B9">
            <w:pPr>
              <w:pStyle w:val="Heading10"/>
              <w:keepNext/>
              <w:keepLines/>
              <w:shd w:val="clear" w:color="auto" w:fill="auto"/>
              <w:spacing w:line="240" w:lineRule="auto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>Руководитель ОУ, ответственные сотрудники за организацию питания</w:t>
            </w:r>
          </w:p>
        </w:tc>
      </w:tr>
      <w:tr w:rsidR="003F22B9" w:rsidTr="003F22B9">
        <w:trPr>
          <w:trHeight w:val="1084"/>
        </w:trPr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Bodytext20"/>
              <w:shd w:val="clear" w:color="auto" w:fill="auto"/>
              <w:spacing w:after="120" w:line="240" w:lineRule="exact"/>
              <w:rPr>
                <w:rStyle w:val="Heading11"/>
                <w:b/>
                <w:bCs/>
                <w:u w:val="none"/>
              </w:rPr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наличием списка обучающихся на предоставление бесплатного горячего питания, для детей льготных категорий (многодетных, малообеспеченных, ОВЗ), за счет средств областного бюджета. Проверка соблюдения графика работы столовой. 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2629" w:type="dxa"/>
          </w:tcPr>
          <w:p w:rsidR="003F22B9" w:rsidRDefault="003F22B9" w:rsidP="003F22B9">
            <w:pPr>
              <w:pStyle w:val="Heading10"/>
              <w:keepNext/>
              <w:keepLines/>
              <w:shd w:val="clear" w:color="auto" w:fill="auto"/>
              <w:spacing w:line="240" w:lineRule="auto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Bodytext20"/>
              <w:shd w:val="clear" w:color="auto" w:fill="auto"/>
              <w:spacing w:line="274" w:lineRule="exact"/>
              <w:rPr>
                <w:rStyle w:val="Heading11"/>
                <w:b/>
                <w:bCs/>
                <w:u w:val="none"/>
              </w:rPr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jc w:val="left"/>
              <w:rPr>
                <w:rStyle w:val="Heading11"/>
                <w:b/>
                <w:bCs/>
                <w:u w:val="none"/>
              </w:rPr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Bodytext20"/>
              <w:shd w:val="clear" w:color="auto" w:fill="auto"/>
              <w:spacing w:line="277" w:lineRule="exact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 xml:space="preserve">Контроль рациона питания </w:t>
            </w:r>
            <w:proofErr w:type="gramStart"/>
            <w:r>
              <w:rPr>
                <w:rStyle w:val="Bodytext212ptNotBold"/>
              </w:rPr>
              <w:t>обучающихся</w:t>
            </w:r>
            <w:proofErr w:type="gramEnd"/>
            <w:r>
              <w:rPr>
                <w:rStyle w:val="Bodytext212ptNotBold"/>
              </w:rPr>
              <w:t>. Проверка соответствия предварительного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январь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Heading10"/>
              <w:keepNext/>
              <w:keepLines/>
              <w:shd w:val="clear" w:color="auto" w:fill="auto"/>
              <w:spacing w:line="240" w:lineRule="auto"/>
              <w:jc w:val="left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>Рассмотреть обращения обучающихся и/или их законных представителей по вопросам качества и/или порядка оказания Услуг по организации питания в школе. Анализ практики организации дежурства по столовой на переменах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lastRenderedPageBreak/>
              <w:t>7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Heading10"/>
              <w:keepNext/>
              <w:keepLines/>
              <w:shd w:val="clear" w:color="auto" w:fill="auto"/>
              <w:spacing w:line="240" w:lineRule="auto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>Эстетическое оформление зала столовой. Замена устаревшего оборудования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март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Heading10"/>
              <w:keepNext/>
              <w:keepLines/>
              <w:shd w:val="clear" w:color="auto" w:fill="auto"/>
              <w:spacing w:line="240" w:lineRule="auto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Bodytext20"/>
              <w:shd w:val="clear" w:color="auto" w:fill="auto"/>
              <w:spacing w:after="120" w:line="240" w:lineRule="exact"/>
              <w:ind w:left="300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  <w:tr w:rsidR="003F22B9" w:rsidTr="003F22B9">
        <w:tc>
          <w:tcPr>
            <w:tcW w:w="655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276" w:type="dxa"/>
          </w:tcPr>
          <w:p w:rsidR="003F22B9" w:rsidRPr="0002181C" w:rsidRDefault="003F22B9" w:rsidP="003F22B9">
            <w:pPr>
              <w:pStyle w:val="Heading10"/>
              <w:keepNext/>
              <w:keepLines/>
              <w:shd w:val="clear" w:color="auto" w:fill="auto"/>
              <w:ind w:right="40"/>
              <w:rPr>
                <w:rStyle w:val="Heading11"/>
                <w:bCs/>
                <w:sz w:val="24"/>
                <w:szCs w:val="24"/>
                <w:u w:val="none"/>
              </w:rPr>
            </w:pPr>
            <w:r w:rsidRPr="0002181C">
              <w:rPr>
                <w:rStyle w:val="Heading11"/>
                <w:bCs/>
                <w:sz w:val="24"/>
                <w:szCs w:val="24"/>
                <w:u w:val="none"/>
              </w:rPr>
              <w:t>май</w:t>
            </w:r>
          </w:p>
        </w:tc>
        <w:tc>
          <w:tcPr>
            <w:tcW w:w="8930" w:type="dxa"/>
          </w:tcPr>
          <w:p w:rsidR="003F22B9" w:rsidRDefault="003F22B9" w:rsidP="003F22B9">
            <w:pPr>
              <w:pStyle w:val="Bodytext20"/>
              <w:shd w:val="clear" w:color="auto" w:fill="auto"/>
              <w:spacing w:after="120" w:line="240" w:lineRule="exact"/>
              <w:jc w:val="center"/>
              <w:rPr>
                <w:rStyle w:val="Heading11"/>
                <w:b/>
                <w:bCs/>
                <w:u w:val="none"/>
              </w:rPr>
            </w:pPr>
            <w:r>
              <w:rPr>
                <w:rStyle w:val="Bodytext212ptNotBold"/>
              </w:rPr>
              <w:t xml:space="preserve">Обобщение и распространение положительного опыта по вопросам организации и развития школьного питания. </w:t>
            </w:r>
          </w:p>
        </w:tc>
        <w:tc>
          <w:tcPr>
            <w:tcW w:w="2629" w:type="dxa"/>
          </w:tcPr>
          <w:p w:rsidR="003F22B9" w:rsidRPr="005211DA" w:rsidRDefault="003F22B9" w:rsidP="003F22B9">
            <w:pPr>
              <w:jc w:val="center"/>
              <w:rPr>
                <w:b/>
              </w:rPr>
            </w:pPr>
            <w:r w:rsidRPr="005211DA">
              <w:rPr>
                <w:rStyle w:val="Bodytext212ptNotBold"/>
                <w:rFonts w:eastAsia="Tahoma"/>
                <w:b w:val="0"/>
              </w:rPr>
              <w:t>Ответственные сотрудники за организацию питания, члены комиссии</w:t>
            </w:r>
          </w:p>
        </w:tc>
      </w:tr>
    </w:tbl>
    <w:p w:rsidR="003F22B9" w:rsidRDefault="003F22B9" w:rsidP="003F22B9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</w:p>
    <w:p w:rsidR="0002181C" w:rsidRDefault="0002181C" w:rsidP="0002181C">
      <w:pPr>
        <w:jc w:val="right"/>
        <w:rPr>
          <w:rFonts w:ascii="Times New Roman" w:hAnsi="Times New Roman" w:cs="Times New Roman"/>
          <w:bCs/>
          <w:spacing w:val="-6"/>
        </w:rPr>
      </w:pPr>
    </w:p>
    <w:p w:rsidR="0002181C" w:rsidRDefault="0002181C" w:rsidP="0002181C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</w:p>
    <w:p w:rsidR="0002181C" w:rsidRDefault="0002181C" w:rsidP="0002181C">
      <w:pPr>
        <w:jc w:val="center"/>
        <w:rPr>
          <w:rFonts w:ascii="Times New Roman" w:hAnsi="Times New Roman" w:cs="Times New Roman"/>
          <w:bCs/>
          <w:spacing w:val="-6"/>
        </w:rPr>
      </w:pPr>
    </w:p>
    <w:p w:rsidR="0002181C" w:rsidRDefault="0002181C" w:rsidP="0002181C">
      <w:pPr>
        <w:pStyle w:val="Heading10"/>
        <w:keepNext/>
        <w:keepLines/>
        <w:shd w:val="clear" w:color="auto" w:fill="auto"/>
        <w:ind w:right="40"/>
        <w:jc w:val="left"/>
      </w:pPr>
    </w:p>
    <w:bookmarkEnd w:id="0"/>
    <w:p w:rsidR="00401000" w:rsidRPr="00853FE3" w:rsidRDefault="00401000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</w:p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framePr w:w="13565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framePr w:w="13561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sectPr w:rsidR="008D2BD6" w:rsidSect="005211DA">
      <w:pgSz w:w="16840" w:h="11900" w:orient="landscape"/>
      <w:pgMar w:top="735" w:right="1583" w:bottom="45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5E" w:rsidRDefault="00C0225E" w:rsidP="008D2BD6">
      <w:r>
        <w:separator/>
      </w:r>
    </w:p>
  </w:endnote>
  <w:endnote w:type="continuationSeparator" w:id="0">
    <w:p w:rsidR="00C0225E" w:rsidRDefault="00C0225E" w:rsidP="008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5E" w:rsidRDefault="00C0225E"/>
  </w:footnote>
  <w:footnote w:type="continuationSeparator" w:id="0">
    <w:p w:rsidR="00C0225E" w:rsidRDefault="00C02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130E"/>
    <w:multiLevelType w:val="multilevel"/>
    <w:tmpl w:val="2796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2BD6"/>
    <w:rsid w:val="0002181C"/>
    <w:rsid w:val="00080ED9"/>
    <w:rsid w:val="001855DF"/>
    <w:rsid w:val="00195E8A"/>
    <w:rsid w:val="001E35BB"/>
    <w:rsid w:val="003F22B9"/>
    <w:rsid w:val="00401000"/>
    <w:rsid w:val="00461500"/>
    <w:rsid w:val="00484B53"/>
    <w:rsid w:val="004973D3"/>
    <w:rsid w:val="005211DA"/>
    <w:rsid w:val="005F2BDF"/>
    <w:rsid w:val="006022D1"/>
    <w:rsid w:val="00700F44"/>
    <w:rsid w:val="00853FE3"/>
    <w:rsid w:val="008D2BD6"/>
    <w:rsid w:val="009649AB"/>
    <w:rsid w:val="00A5422F"/>
    <w:rsid w:val="00C0225E"/>
    <w:rsid w:val="00C553BC"/>
    <w:rsid w:val="00CA2A74"/>
    <w:rsid w:val="00DD0DDC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B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BD6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NotBold">
    <w:name w:val="Body text (2) + 12 pt;Not Bold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8D2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D2BD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8D2BD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8D2BD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D2BD6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9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AB"/>
    <w:rPr>
      <w:color w:val="000000"/>
      <w:sz w:val="16"/>
      <w:szCs w:val="16"/>
    </w:rPr>
  </w:style>
  <w:style w:type="table" w:styleId="a6">
    <w:name w:val="Table Grid"/>
    <w:basedOn w:val="a1"/>
    <w:uiPriority w:val="59"/>
    <w:rsid w:val="0040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1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81C"/>
    <w:rPr>
      <w:color w:val="000000"/>
    </w:rPr>
  </w:style>
  <w:style w:type="paragraph" w:styleId="a9">
    <w:name w:val="footer"/>
    <w:basedOn w:val="a"/>
    <w:link w:val="aa"/>
    <w:uiPriority w:val="99"/>
    <w:unhideWhenUsed/>
    <w:rsid w:val="00021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8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2020-09-01T11:52:00Z</dcterms:created>
  <dcterms:modified xsi:type="dcterms:W3CDTF">2021-02-09T11:45:00Z</dcterms:modified>
</cp:coreProperties>
</file>